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A" w:rsidRPr="00FE4B2A" w:rsidRDefault="00FE4B2A" w:rsidP="00FE4B2A">
      <w:pPr>
        <w:spacing w:after="0" w:line="240" w:lineRule="auto"/>
        <w:jc w:val="center"/>
        <w:rPr>
          <w:rFonts w:ascii="Palatino Linotype" w:hAnsi="Palatino Linotype"/>
        </w:rPr>
      </w:pPr>
      <w:r w:rsidRPr="00FE4B2A">
        <w:rPr>
          <w:rFonts w:ascii="Palatino Linotype" w:hAnsi="Palatino Linotype"/>
        </w:rPr>
        <w:t>CURRICULUM RECONCILIATION - 1</w:t>
      </w:r>
    </w:p>
    <w:p w:rsidR="00FE4B2A" w:rsidRDefault="00FE4B2A" w:rsidP="00FE4B2A">
      <w:pPr>
        <w:spacing w:after="0" w:line="240" w:lineRule="auto"/>
        <w:jc w:val="center"/>
        <w:rPr>
          <w:rFonts w:ascii="Palatino Linotype" w:hAnsi="Palatino Linotype"/>
        </w:rPr>
      </w:pPr>
      <w:r w:rsidRPr="00FE4B2A">
        <w:rPr>
          <w:rFonts w:ascii="Palatino Linotype" w:hAnsi="Palatino Linotype"/>
        </w:rPr>
        <w:t>COLLEGE OF EDUCATION, HEALTH &amp; HUMAN SERVICES</w:t>
      </w:r>
    </w:p>
    <w:p w:rsidR="00FE4B2A" w:rsidRDefault="00FE4B2A" w:rsidP="00FE4B2A">
      <w:pPr>
        <w:spacing w:after="0" w:line="240" w:lineRule="auto"/>
        <w:jc w:val="center"/>
        <w:rPr>
          <w:rFonts w:ascii="Palatino Linotype" w:hAnsi="Palatino Linotype"/>
        </w:rPr>
      </w:pPr>
    </w:p>
    <w:p w:rsidR="00FE4B2A" w:rsidRPr="003F3055" w:rsidRDefault="003F3055" w:rsidP="00FE4B2A">
      <w:pPr>
        <w:spacing w:after="0" w:line="240" w:lineRule="auto"/>
        <w:rPr>
          <w:rFonts w:ascii="Palatino Linotype" w:hAnsi="Palatino Linotype"/>
          <w:b/>
        </w:rPr>
      </w:pPr>
      <w:r w:rsidRPr="003F3055">
        <w:rPr>
          <w:rFonts w:ascii="Palatino Linotype" w:hAnsi="Palatino Linotype"/>
          <w:b/>
        </w:rPr>
        <w:t>KINESIOLOGY</w:t>
      </w:r>
    </w:p>
    <w:tbl>
      <w:tblPr>
        <w:tblStyle w:val="TableGrid"/>
        <w:tblW w:w="13045" w:type="dxa"/>
        <w:tblLook w:val="04A0" w:firstRow="1" w:lastRow="0" w:firstColumn="1" w:lastColumn="0" w:noHBand="0" w:noVBand="1"/>
      </w:tblPr>
      <w:tblGrid>
        <w:gridCol w:w="1255"/>
        <w:gridCol w:w="3960"/>
        <w:gridCol w:w="3960"/>
        <w:gridCol w:w="3870"/>
      </w:tblGrid>
      <w:tr w:rsidR="003F3055" w:rsidRPr="00CC561C" w:rsidTr="003F3055">
        <w:tc>
          <w:tcPr>
            <w:tcW w:w="1255" w:type="dxa"/>
          </w:tcPr>
          <w:p w:rsidR="003F3055" w:rsidRPr="00CC561C" w:rsidRDefault="003F3055" w:rsidP="003E2A10">
            <w:pPr>
              <w:rPr>
                <w:b/>
              </w:rPr>
            </w:pPr>
            <w:r w:rsidRPr="00CC561C">
              <w:rPr>
                <w:b/>
              </w:rPr>
              <w:t>Course Subject and Number</w:t>
            </w:r>
          </w:p>
        </w:tc>
        <w:tc>
          <w:tcPr>
            <w:tcW w:w="3960" w:type="dxa"/>
          </w:tcPr>
          <w:p w:rsidR="003F3055" w:rsidRPr="00CC561C" w:rsidRDefault="003F3055" w:rsidP="003E2A10">
            <w:pPr>
              <w:rPr>
                <w:b/>
              </w:rPr>
            </w:pPr>
            <w:r w:rsidRPr="00CC561C">
              <w:rPr>
                <w:b/>
              </w:rPr>
              <w:t>Current Information</w:t>
            </w:r>
          </w:p>
        </w:tc>
        <w:tc>
          <w:tcPr>
            <w:tcW w:w="3960" w:type="dxa"/>
          </w:tcPr>
          <w:p w:rsidR="003F3055" w:rsidRPr="00CC561C" w:rsidRDefault="003F3055" w:rsidP="003E2A10">
            <w:pPr>
              <w:rPr>
                <w:b/>
              </w:rPr>
            </w:pPr>
            <w:r w:rsidRPr="00CC561C">
              <w:rPr>
                <w:b/>
              </w:rPr>
              <w:t>Proposed Change</w:t>
            </w:r>
          </w:p>
        </w:tc>
        <w:tc>
          <w:tcPr>
            <w:tcW w:w="3870" w:type="dxa"/>
          </w:tcPr>
          <w:p w:rsidR="003F3055" w:rsidRPr="00CC561C" w:rsidRDefault="003F3055" w:rsidP="003E2A10">
            <w:pPr>
              <w:rPr>
                <w:b/>
              </w:rPr>
            </w:pPr>
            <w:r w:rsidRPr="00CC561C">
              <w:rPr>
                <w:b/>
              </w:rPr>
              <w:t>Please provide brief rationale for change</w:t>
            </w:r>
          </w:p>
        </w:tc>
      </w:tr>
      <w:tr w:rsidR="003F3055" w:rsidTr="003F3055">
        <w:tc>
          <w:tcPr>
            <w:tcW w:w="1255" w:type="dxa"/>
          </w:tcPr>
          <w:p w:rsidR="003F3055" w:rsidRDefault="003F3055" w:rsidP="003E2A10">
            <w:r>
              <w:t>KINE 301</w:t>
            </w:r>
          </w:p>
        </w:tc>
        <w:tc>
          <w:tcPr>
            <w:tcW w:w="3960" w:type="dxa"/>
          </w:tcPr>
          <w:p w:rsidR="003F3055" w:rsidRDefault="003F3055" w:rsidP="003E2A10">
            <w:r>
              <w:t>Pre-requisite KINE 303 or KINE 403, BIOL 177 and 178.</w:t>
            </w:r>
          </w:p>
        </w:tc>
        <w:tc>
          <w:tcPr>
            <w:tcW w:w="3960" w:type="dxa"/>
          </w:tcPr>
          <w:p w:rsidR="003F3055" w:rsidRDefault="003F3055" w:rsidP="003E2A10">
            <w:r w:rsidRPr="00DE20B8">
              <w:rPr>
                <w:highlight w:val="yellow"/>
              </w:rPr>
              <w:t>Pre/Co</w:t>
            </w:r>
            <w:r>
              <w:t xml:space="preserve">-requisite KINE 303 or KINE 403, </w:t>
            </w:r>
            <w:r w:rsidRPr="00DE20B8">
              <w:rPr>
                <w:highlight w:val="yellow"/>
              </w:rPr>
              <w:t>enrollment restricted to Kinesiology majors.</w:t>
            </w:r>
          </w:p>
        </w:tc>
        <w:tc>
          <w:tcPr>
            <w:tcW w:w="3870" w:type="dxa"/>
          </w:tcPr>
          <w:p w:rsidR="003F3055" w:rsidRDefault="003F3055" w:rsidP="003E2A10">
            <w:r>
              <w:t>Ensures smoother transition for new KINE students who must take KINE 303 in their first semester.  Without co-requisite, students would have little else to take in their first semester.  Restriction to KINE majors encompasses more of lower division pre-requisites than just mentioning BIOL 177 and 178.  It also accomplishes the same goal of upholding impaction restrictions in a more succinct manner.</w:t>
            </w:r>
          </w:p>
        </w:tc>
      </w:tr>
      <w:tr w:rsidR="003F3055" w:rsidTr="003F3055">
        <w:tc>
          <w:tcPr>
            <w:tcW w:w="1255" w:type="dxa"/>
          </w:tcPr>
          <w:p w:rsidR="003F3055" w:rsidRDefault="003F3055" w:rsidP="003E2A10">
            <w:r>
              <w:t>KINE 304</w:t>
            </w:r>
          </w:p>
        </w:tc>
        <w:tc>
          <w:tcPr>
            <w:tcW w:w="3960" w:type="dxa"/>
          </w:tcPr>
          <w:p w:rsidR="003F3055" w:rsidRDefault="003F3055" w:rsidP="003E2A10">
            <w:r>
              <w:t>Pre-requisite: BIOL 177 and 178</w:t>
            </w:r>
          </w:p>
        </w:tc>
        <w:tc>
          <w:tcPr>
            <w:tcW w:w="3960" w:type="dxa"/>
          </w:tcPr>
          <w:p w:rsidR="003F3055" w:rsidRDefault="003F3055" w:rsidP="003E2A10">
            <w:r>
              <w:t>Enrollment restricted to Kinesiology majors.</w:t>
            </w:r>
          </w:p>
        </w:tc>
        <w:tc>
          <w:tcPr>
            <w:tcW w:w="3870" w:type="dxa"/>
          </w:tcPr>
          <w:p w:rsidR="003F3055" w:rsidRDefault="003F3055" w:rsidP="003E2A10">
            <w:r>
              <w:t>See explanation for KINE 301 above.</w:t>
            </w:r>
          </w:p>
        </w:tc>
      </w:tr>
      <w:tr w:rsidR="003F3055" w:rsidTr="003F3055">
        <w:tc>
          <w:tcPr>
            <w:tcW w:w="1255" w:type="dxa"/>
          </w:tcPr>
          <w:p w:rsidR="003F3055" w:rsidRDefault="003F3055" w:rsidP="003E2A10">
            <w:r>
              <w:t>KINE 305</w:t>
            </w:r>
          </w:p>
        </w:tc>
        <w:tc>
          <w:tcPr>
            <w:tcW w:w="3960" w:type="dxa"/>
          </w:tcPr>
          <w:p w:rsidR="003F3055" w:rsidRDefault="003F3055" w:rsidP="003E2A10">
            <w:r>
              <w:t>Pre-requisite: KINE 303 or KINE 403, BIOL 177 and 178.</w:t>
            </w:r>
          </w:p>
        </w:tc>
        <w:tc>
          <w:tcPr>
            <w:tcW w:w="3960" w:type="dxa"/>
          </w:tcPr>
          <w:p w:rsidR="003F3055" w:rsidRDefault="003F3055" w:rsidP="003E2A10">
            <w:r w:rsidRPr="003E6918">
              <w:rPr>
                <w:highlight w:val="yellow"/>
              </w:rPr>
              <w:t>Pre/Co</w:t>
            </w:r>
            <w:r>
              <w:t xml:space="preserve">-requisite KINE 303 or KINE 403, </w:t>
            </w:r>
            <w:r w:rsidRPr="003E6918">
              <w:rPr>
                <w:highlight w:val="yellow"/>
              </w:rPr>
              <w:t>enrollment restricted to Kinesiology majors</w:t>
            </w:r>
            <w:r>
              <w:t>.</w:t>
            </w:r>
          </w:p>
        </w:tc>
        <w:tc>
          <w:tcPr>
            <w:tcW w:w="3870" w:type="dxa"/>
          </w:tcPr>
          <w:p w:rsidR="003F3055" w:rsidRDefault="003F3055" w:rsidP="003E2A10">
            <w:r>
              <w:t>See explanation for KINE 301 above.</w:t>
            </w:r>
          </w:p>
        </w:tc>
      </w:tr>
      <w:tr w:rsidR="003F3055" w:rsidTr="003F3055">
        <w:tc>
          <w:tcPr>
            <w:tcW w:w="1255" w:type="dxa"/>
          </w:tcPr>
          <w:p w:rsidR="003F3055" w:rsidRDefault="003F3055" w:rsidP="003E2A10">
            <w:r>
              <w:t>KINE 326</w:t>
            </w:r>
          </w:p>
        </w:tc>
        <w:tc>
          <w:tcPr>
            <w:tcW w:w="3960" w:type="dxa"/>
          </w:tcPr>
          <w:p w:rsidR="003F3055" w:rsidRDefault="003F3055" w:rsidP="003E2A10">
            <w:r>
              <w:t>Pre-requisite KINE 303 or KINE 403, BIOL 177 and 178.</w:t>
            </w:r>
          </w:p>
        </w:tc>
        <w:tc>
          <w:tcPr>
            <w:tcW w:w="3960" w:type="dxa"/>
          </w:tcPr>
          <w:p w:rsidR="003F3055" w:rsidRDefault="003F3055" w:rsidP="003E2A10">
            <w:r w:rsidRPr="003E6918">
              <w:rPr>
                <w:highlight w:val="yellow"/>
              </w:rPr>
              <w:t>Pre/Co</w:t>
            </w:r>
            <w:r>
              <w:t xml:space="preserve">-requisite KINE 303 or KINE 403, </w:t>
            </w:r>
            <w:r w:rsidRPr="003E6918">
              <w:rPr>
                <w:highlight w:val="yellow"/>
              </w:rPr>
              <w:t>enrollment restricted to Kinesiology majors</w:t>
            </w:r>
            <w:r>
              <w:t>.</w:t>
            </w:r>
          </w:p>
        </w:tc>
        <w:tc>
          <w:tcPr>
            <w:tcW w:w="3870" w:type="dxa"/>
          </w:tcPr>
          <w:p w:rsidR="003F3055" w:rsidRDefault="003F3055" w:rsidP="003E2A10">
            <w:r>
              <w:t>See explanation for KINE 301 above.</w:t>
            </w:r>
          </w:p>
        </w:tc>
      </w:tr>
      <w:tr w:rsidR="003F3055" w:rsidTr="003F3055">
        <w:tc>
          <w:tcPr>
            <w:tcW w:w="1255" w:type="dxa"/>
          </w:tcPr>
          <w:p w:rsidR="003F3055" w:rsidRDefault="003F3055" w:rsidP="003E2A10">
            <w:r>
              <w:t>KINE 390</w:t>
            </w:r>
          </w:p>
        </w:tc>
        <w:tc>
          <w:tcPr>
            <w:tcW w:w="3960" w:type="dxa"/>
          </w:tcPr>
          <w:p w:rsidR="003F3055" w:rsidRDefault="003F3055" w:rsidP="003E2A10">
            <w:r>
              <w:t>Pre-requisite KINE 303 or KINE 403</w:t>
            </w:r>
          </w:p>
        </w:tc>
        <w:tc>
          <w:tcPr>
            <w:tcW w:w="3960" w:type="dxa"/>
          </w:tcPr>
          <w:p w:rsidR="003F3055" w:rsidRDefault="003F3055" w:rsidP="003E2A10">
            <w:r w:rsidRPr="003E6918">
              <w:rPr>
                <w:highlight w:val="yellow"/>
              </w:rPr>
              <w:t>Pre/Co</w:t>
            </w:r>
            <w:r>
              <w:t>-requisite KINE 303 or KINE 403</w:t>
            </w:r>
          </w:p>
        </w:tc>
        <w:tc>
          <w:tcPr>
            <w:tcW w:w="3870" w:type="dxa"/>
          </w:tcPr>
          <w:p w:rsidR="003F3055" w:rsidRDefault="003F3055" w:rsidP="003E2A10">
            <w:r>
              <w:t>See explanation for KINE 301 above.</w:t>
            </w:r>
          </w:p>
        </w:tc>
      </w:tr>
      <w:tr w:rsidR="003F3055" w:rsidTr="003F3055">
        <w:tc>
          <w:tcPr>
            <w:tcW w:w="1255" w:type="dxa"/>
          </w:tcPr>
          <w:p w:rsidR="003F3055" w:rsidRDefault="003F3055" w:rsidP="003E2A10">
            <w:r>
              <w:t>KINE 415</w:t>
            </w:r>
          </w:p>
        </w:tc>
        <w:tc>
          <w:tcPr>
            <w:tcW w:w="3960" w:type="dxa"/>
          </w:tcPr>
          <w:p w:rsidR="003F3055" w:rsidRDefault="003F3055" w:rsidP="003E2A10">
            <w:r>
              <w:t>Enrollment restriction: May not be taken for credit by students that have received credit for KINE 390-7</w:t>
            </w:r>
          </w:p>
        </w:tc>
        <w:tc>
          <w:tcPr>
            <w:tcW w:w="3960" w:type="dxa"/>
          </w:tcPr>
          <w:p w:rsidR="003F3055" w:rsidRDefault="003F3055" w:rsidP="003E2A10">
            <w:r>
              <w:t>Pre-requisite: BIOL 177 and 178.</w:t>
            </w:r>
          </w:p>
        </w:tc>
        <w:tc>
          <w:tcPr>
            <w:tcW w:w="3870" w:type="dxa"/>
          </w:tcPr>
          <w:p w:rsidR="003F3055" w:rsidRDefault="003F3055" w:rsidP="003E2A10">
            <w:r>
              <w:t>This course may eventually be opened to students outside of Kinesiology.  No remaining students in our program who took KINE 390-7 – this statement is no longer necessary.</w:t>
            </w:r>
          </w:p>
        </w:tc>
      </w:tr>
      <w:tr w:rsidR="003F3055" w:rsidTr="003F3055">
        <w:tc>
          <w:tcPr>
            <w:tcW w:w="1255" w:type="dxa"/>
          </w:tcPr>
          <w:p w:rsidR="003F3055" w:rsidRDefault="003F3055" w:rsidP="003E2A10">
            <w:r>
              <w:lastRenderedPageBreak/>
              <w:t>KINE 425</w:t>
            </w:r>
          </w:p>
        </w:tc>
        <w:tc>
          <w:tcPr>
            <w:tcW w:w="3960" w:type="dxa"/>
          </w:tcPr>
          <w:p w:rsidR="003F3055" w:rsidRDefault="003F3055" w:rsidP="003E2A10">
            <w:r>
              <w:t>May not be taken for credit by students who have received credit for KINE 300.  Three hours lecture and three hours laboratory. Pre-requisite: KINE 303 or KINE 403, MATH 125 or MATH 160, and PHYS 101 or PHYS 205.</w:t>
            </w:r>
          </w:p>
        </w:tc>
        <w:tc>
          <w:tcPr>
            <w:tcW w:w="3960" w:type="dxa"/>
          </w:tcPr>
          <w:p w:rsidR="003F3055" w:rsidRDefault="003F3055" w:rsidP="003E2A10">
            <w:r>
              <w:t xml:space="preserve">May not be taken for credit by students who have received credit for KINE 300.  Three hours lecture and three hours laboratory. </w:t>
            </w:r>
            <w:r w:rsidRPr="003E6918">
              <w:rPr>
                <w:highlight w:val="yellow"/>
              </w:rPr>
              <w:t>Pre/Co</w:t>
            </w:r>
            <w:r>
              <w:t xml:space="preserve">-requisite KINE 303 or KINE 403, MATH 125 or MATH 160, </w:t>
            </w:r>
            <w:r w:rsidRPr="003E6918">
              <w:rPr>
                <w:highlight w:val="yellow"/>
              </w:rPr>
              <w:t>enrollment restricted to Kinesiology majors</w:t>
            </w:r>
            <w:r>
              <w:t>.</w:t>
            </w:r>
          </w:p>
        </w:tc>
        <w:tc>
          <w:tcPr>
            <w:tcW w:w="3870" w:type="dxa"/>
          </w:tcPr>
          <w:p w:rsidR="003F3055" w:rsidRDefault="003F3055" w:rsidP="003E2A10">
            <w:r>
              <w:t>See explanation for KINE 301 above.  Physics 101 removed as pre-requisite because not all KINE students enrolling in this course are required to take PHYS 101.</w:t>
            </w:r>
          </w:p>
        </w:tc>
      </w:tr>
    </w:tbl>
    <w:p w:rsidR="00FE4B2A" w:rsidRPr="00FE4B2A" w:rsidRDefault="003F3055" w:rsidP="00FE4B2A">
      <w:pPr>
        <w:spacing w:after="0" w:line="240" w:lineRule="auto"/>
        <w:rPr>
          <w:rFonts w:ascii="Palatino Linotype" w:hAnsi="Palatino Linotype"/>
          <w:b/>
          <w:sz w:val="20"/>
          <w:szCs w:val="20"/>
        </w:rPr>
      </w:pPr>
      <w:r>
        <w:rPr>
          <w:rFonts w:ascii="Palatino Linotype" w:hAnsi="Palatino Linotype"/>
          <w:b/>
          <w:sz w:val="20"/>
          <w:szCs w:val="20"/>
        </w:rPr>
        <w:br/>
      </w:r>
      <w:r>
        <w:rPr>
          <w:rFonts w:ascii="Palatino Linotype" w:hAnsi="Palatino Linotype"/>
          <w:b/>
          <w:sz w:val="20"/>
          <w:szCs w:val="20"/>
        </w:rPr>
        <w:br/>
      </w:r>
      <w:r>
        <w:rPr>
          <w:rFonts w:ascii="Palatino Linotype" w:hAnsi="Palatino Linotype"/>
          <w:b/>
          <w:sz w:val="20"/>
          <w:szCs w:val="20"/>
        </w:rPr>
        <w:br/>
      </w:r>
      <w:r>
        <w:rPr>
          <w:rFonts w:ascii="Palatino Linotype" w:hAnsi="Palatino Linotype"/>
          <w:b/>
          <w:sz w:val="20"/>
          <w:szCs w:val="20"/>
        </w:rPr>
        <w:br/>
        <w:t>MASTER OF SOCIAL WORK</w:t>
      </w:r>
      <w:bookmarkStart w:id="0" w:name="_GoBack"/>
      <w:bookmarkEnd w:id="0"/>
      <w:r w:rsidR="00FE4B2A" w:rsidRPr="00FE4B2A">
        <w:rPr>
          <w:rFonts w:ascii="Palatino Linotype" w:hAnsi="Palatino Linotype"/>
          <w:b/>
          <w:sz w:val="20"/>
          <w:szCs w:val="20"/>
        </w:rPr>
        <w:t xml:space="preserve"> </w:t>
      </w:r>
    </w:p>
    <w:tbl>
      <w:tblPr>
        <w:tblStyle w:val="TableGrid"/>
        <w:tblW w:w="13045" w:type="dxa"/>
        <w:tblLook w:val="04A0" w:firstRow="1" w:lastRow="0" w:firstColumn="1" w:lastColumn="0" w:noHBand="0" w:noVBand="1"/>
      </w:tblPr>
      <w:tblGrid>
        <w:gridCol w:w="1255"/>
        <w:gridCol w:w="3960"/>
        <w:gridCol w:w="3960"/>
        <w:gridCol w:w="3870"/>
      </w:tblGrid>
      <w:tr w:rsidR="00FE4B2A" w:rsidRPr="00FE4B2A" w:rsidTr="003E2A10">
        <w:tc>
          <w:tcPr>
            <w:tcW w:w="1255" w:type="dxa"/>
            <w:tcBorders>
              <w:bottom w:val="single" w:sz="12" w:space="0" w:color="auto"/>
            </w:tcBorders>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Course Subject &amp; Number</w:t>
            </w:r>
          </w:p>
        </w:tc>
        <w:tc>
          <w:tcPr>
            <w:tcW w:w="3960" w:type="dxa"/>
            <w:tcBorders>
              <w:bottom w:val="single" w:sz="12" w:space="0" w:color="auto"/>
            </w:tcBorders>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Current Information</w:t>
            </w:r>
          </w:p>
        </w:tc>
        <w:tc>
          <w:tcPr>
            <w:tcW w:w="3960" w:type="dxa"/>
            <w:tcBorders>
              <w:bottom w:val="single" w:sz="12" w:space="0" w:color="auto"/>
            </w:tcBorders>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Proposed Change</w:t>
            </w:r>
          </w:p>
        </w:tc>
        <w:tc>
          <w:tcPr>
            <w:tcW w:w="3870" w:type="dxa"/>
            <w:tcBorders>
              <w:bottom w:val="single" w:sz="12" w:space="0" w:color="auto"/>
            </w:tcBorders>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Brief Rationale of the Change</w:t>
            </w:r>
          </w:p>
        </w:tc>
      </w:tr>
      <w:tr w:rsidR="00FE4B2A" w:rsidRPr="00FE4B2A" w:rsidTr="003E2A10">
        <w:tc>
          <w:tcPr>
            <w:tcW w:w="1255"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MSW 541</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Field Instruction II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Development of mental health policy in the U.S, and its relationship to the delivery of mental health services for various populations across the life span. Focus on diversity issues in mental health policy. Enrollment restricted to students enrolled in the Master of Social Work program. Prerequisite: MSW 520.</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Field Instruction II </w:t>
            </w:r>
          </w:p>
          <w:p w:rsidR="00FE4B2A" w:rsidRPr="00FE4B2A" w:rsidRDefault="00FE4B2A" w:rsidP="003E2A10">
            <w:pPr>
              <w:rPr>
                <w:rFonts w:ascii="Palatino Linotype" w:hAnsi="Palatino Linotype"/>
                <w:sz w:val="20"/>
                <w:szCs w:val="20"/>
              </w:rPr>
            </w:pPr>
            <w:r w:rsidRPr="00FE4B2A">
              <w:rPr>
                <w:rFonts w:ascii="Palatino Linotype" w:hAnsi="Palatino Linotype"/>
                <w:color w:val="FF0000"/>
                <w:sz w:val="20"/>
                <w:szCs w:val="20"/>
              </w:rPr>
              <w:t xml:space="preserve">Second course of a foundation two-semester sequence. Supervised practice in a social services or related agency enhancing basic micro, mezzo, and macro skills with an emphasis on culturally competent social work practice. Field seminar and 16 hours weekly supervised agency field experience. Graded Credit/ No Credit. Enrollment restricted to students enrolled in the Master of Social Work program. </w:t>
            </w:r>
            <w:r w:rsidRPr="00FE4B2A">
              <w:rPr>
                <w:rFonts w:ascii="Palatino Linotype" w:hAnsi="Palatino Linotype"/>
                <w:sz w:val="20"/>
                <w:szCs w:val="20"/>
              </w:rPr>
              <w:t xml:space="preserve">Prerequisite: MSW </w:t>
            </w:r>
            <w:r w:rsidRPr="00FE4B2A">
              <w:rPr>
                <w:rFonts w:ascii="Palatino Linotype" w:hAnsi="Palatino Linotype"/>
                <w:color w:val="FF0000"/>
                <w:sz w:val="20"/>
                <w:szCs w:val="20"/>
              </w:rPr>
              <w:t>540</w:t>
            </w:r>
          </w:p>
        </w:tc>
        <w:tc>
          <w:tcPr>
            <w:tcW w:w="387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The course descriptions and prerequisites for MSW 541 and 635B have been erroneously switched in the catalog. This change corrects this error.</w:t>
            </w:r>
          </w:p>
        </w:tc>
      </w:tr>
      <w:tr w:rsidR="00FE4B2A" w:rsidRPr="00FE4B2A" w:rsidTr="003E2A10">
        <w:tc>
          <w:tcPr>
            <w:tcW w:w="1255"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MSW 635B</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MSW 635B (3) Advanced Policy: BH</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Second course of a foundation two-semester sequence. Supervised practice in a social services or related agency enhancing basic micro, mezzo, and macro skills with an emphasis on culturally competent social work practice. Field </w:t>
            </w:r>
            <w:r w:rsidRPr="00FE4B2A">
              <w:rPr>
                <w:rFonts w:ascii="Palatino Linotype" w:hAnsi="Palatino Linotype"/>
                <w:sz w:val="20"/>
                <w:szCs w:val="20"/>
              </w:rPr>
              <w:lastRenderedPageBreak/>
              <w:t xml:space="preserve">seminar and 16 hours weekly supervised agency field experience. Graded Credit/ No Credit. Enrollment restricted to students enrolled in the Master of Social Work program. Prerequisite: MSW 540. </w:t>
            </w:r>
            <w:proofErr w:type="spellStart"/>
            <w:r w:rsidRPr="00FE4B2A">
              <w:rPr>
                <w:rFonts w:ascii="Palatino Linotype" w:hAnsi="Palatino Linotype"/>
                <w:sz w:val="20"/>
                <w:szCs w:val="20"/>
              </w:rPr>
              <w:t>Corequisite</w:t>
            </w:r>
            <w:proofErr w:type="spellEnd"/>
            <w:r w:rsidRPr="00FE4B2A">
              <w:rPr>
                <w:rFonts w:ascii="Palatino Linotype" w:hAnsi="Palatino Linotype"/>
                <w:sz w:val="20"/>
                <w:szCs w:val="20"/>
              </w:rPr>
              <w:t>: MSW 511.</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lastRenderedPageBreak/>
              <w:t>MSW 635B (3) Advanced Policy: BH</w:t>
            </w:r>
          </w:p>
          <w:p w:rsidR="00FE4B2A" w:rsidRPr="00FE4B2A" w:rsidRDefault="00FE4B2A" w:rsidP="003E2A10">
            <w:pPr>
              <w:rPr>
                <w:rFonts w:ascii="Palatino Linotype" w:hAnsi="Palatino Linotype"/>
                <w:sz w:val="20"/>
                <w:szCs w:val="20"/>
              </w:rPr>
            </w:pPr>
            <w:r w:rsidRPr="00FE4B2A">
              <w:rPr>
                <w:rFonts w:ascii="Palatino Linotype" w:hAnsi="Palatino Linotype"/>
                <w:color w:val="FF0000"/>
                <w:sz w:val="20"/>
                <w:szCs w:val="20"/>
              </w:rPr>
              <w:t xml:space="preserve">Development of mental health policy in the U.S, and its relationship to the delivery of mental health services for various populations across the life span. Focus on diversity issues in mental health policy. Enrollment restricted to students </w:t>
            </w:r>
            <w:r w:rsidRPr="00FE4B2A">
              <w:rPr>
                <w:rFonts w:ascii="Palatino Linotype" w:hAnsi="Palatino Linotype"/>
                <w:color w:val="FF0000"/>
                <w:sz w:val="20"/>
                <w:szCs w:val="20"/>
              </w:rPr>
              <w:lastRenderedPageBreak/>
              <w:t xml:space="preserve">enrolled in the Master of Social Work program. Enrollment restricted to students enrolled in the Master of Social Work program. </w:t>
            </w:r>
            <w:r w:rsidRPr="00FE4B2A">
              <w:rPr>
                <w:rFonts w:ascii="Palatino Linotype" w:hAnsi="Palatino Linotype"/>
                <w:sz w:val="20"/>
                <w:szCs w:val="20"/>
              </w:rPr>
              <w:t xml:space="preserve">Prerequisite: MSW </w:t>
            </w:r>
            <w:r w:rsidRPr="00FE4B2A">
              <w:rPr>
                <w:rFonts w:ascii="Palatino Linotype" w:hAnsi="Palatino Linotype"/>
                <w:color w:val="FF0000"/>
                <w:sz w:val="20"/>
                <w:szCs w:val="20"/>
              </w:rPr>
              <w:t>520</w:t>
            </w:r>
            <w:r w:rsidRPr="00FE4B2A">
              <w:rPr>
                <w:rFonts w:ascii="Palatino Linotype" w:hAnsi="Palatino Linotype"/>
                <w:sz w:val="20"/>
                <w:szCs w:val="20"/>
              </w:rPr>
              <w:t xml:space="preserve">. </w:t>
            </w:r>
          </w:p>
        </w:tc>
        <w:tc>
          <w:tcPr>
            <w:tcW w:w="387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lastRenderedPageBreak/>
              <w:t>The course descriptions and prerequisites for MSW 541 and 635B have been erroneously switched in the catalog. This change corrects this error.</w:t>
            </w:r>
          </w:p>
        </w:tc>
      </w:tr>
      <w:tr w:rsidR="00FE4B2A" w:rsidRPr="00FE4B2A" w:rsidTr="003E2A10">
        <w:tc>
          <w:tcPr>
            <w:tcW w:w="1255"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lastRenderedPageBreak/>
              <w:t>MSW 602</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MSW 602 (3)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Human Behavior and Social Environment III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Assessment of psychopathology across the life span. Developing diagnostic skills with the DSM-5 system. Understanding DSM-5 criteria within a culturally relevant, resiliency, and strengths-based social work perspective. Social worker’s role in the use of psychopharmacology. Focus varies by CYF or BH concentration. Enrollment restricted to students enrolled in the Master of Social Work program. Prerequisite: MSW 501</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MSW 602 (3) </w:t>
            </w:r>
          </w:p>
          <w:p w:rsidR="00FE4B2A" w:rsidRPr="00FE4B2A" w:rsidRDefault="00FE4B2A" w:rsidP="003E2A10">
            <w:pPr>
              <w:rPr>
                <w:rFonts w:ascii="Palatino Linotype" w:hAnsi="Palatino Linotype"/>
                <w:color w:val="FF0000"/>
                <w:sz w:val="20"/>
                <w:szCs w:val="20"/>
              </w:rPr>
            </w:pPr>
            <w:r w:rsidRPr="00FE4B2A">
              <w:rPr>
                <w:rFonts w:ascii="Palatino Linotype" w:hAnsi="Palatino Linotype"/>
                <w:color w:val="FF0000"/>
                <w:sz w:val="20"/>
                <w:szCs w:val="20"/>
              </w:rPr>
              <w:t>Clinical Assessment and Diagnostic Formulation</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Assessment of psychopathology across the life span. Developing diagnostic skills with the DSM-5 system. Understanding DSM-5 criteria within a culturally relevant, resiliency, and strengths-based social work perspective. Social worker’s role in the use of psychopharmacology. Focus varies by CYF or BH concentration. Enrollment restricted to students enrolled in the Master of Social Work program. Prerequisite: MSW 501</w:t>
            </w:r>
          </w:p>
        </w:tc>
        <w:tc>
          <w:tcPr>
            <w:tcW w:w="387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The previous course title was vague and didn’t describe what the course was about. Many states require a course in Clinical Assessment for social work licensure and a change in course title helps ease this process for students applying for licensure with state boards.</w:t>
            </w:r>
          </w:p>
        </w:tc>
      </w:tr>
      <w:tr w:rsidR="00FE4B2A" w:rsidRPr="00FE4B2A" w:rsidTr="003E2A10">
        <w:tc>
          <w:tcPr>
            <w:tcW w:w="1255"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MSW 695</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MSW 695 (3)</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Capstone Project/ Thesis II Completion of a capstone project or research thesis as the culminating experience in the MSW program. Under the guidance of a project or thesis advisor, complete a project or thesis. The project or thesis will address an area of need within the field of social work. Graded Credit/No Credit. Enrollment restricted to students enrolled in the Master of Social Work program. Prerequisites: MSW 650; also MSW 698 for students completing a thesis.</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MSW </w:t>
            </w:r>
            <w:r w:rsidRPr="00FE4B2A">
              <w:rPr>
                <w:rFonts w:ascii="Palatino Linotype" w:hAnsi="Palatino Linotype"/>
                <w:color w:val="FF0000"/>
                <w:sz w:val="20"/>
                <w:szCs w:val="20"/>
              </w:rPr>
              <w:t>698</w:t>
            </w:r>
            <w:r w:rsidRPr="00FE4B2A">
              <w:rPr>
                <w:rFonts w:ascii="Palatino Linotype" w:hAnsi="Palatino Linotype"/>
                <w:sz w:val="20"/>
                <w:szCs w:val="20"/>
              </w:rPr>
              <w:t xml:space="preserve"> (3)</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Capstone Project/ Thesis II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Completion of a capstone project or research thesis as the culminating experience in the MSW program. Under the guidance of a project or thesis advisor, complete a project or thesis. The project or thesis will address an area of need within the field of social work. Graded Credit/No Credit. Enrollment restricted to students enrolled in the Master of Social Work program. Prerequisites: MSW 650. </w:t>
            </w:r>
          </w:p>
        </w:tc>
        <w:tc>
          <w:tcPr>
            <w:tcW w:w="387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This is an error in the catalog course listing—the course numbers for Thesis I and II were switched. It is listed correctly in the catalog in the sequencing of courses. Thesis I should have a lower number (MSW 695) than Thesis II MSW 698.</w:t>
            </w:r>
          </w:p>
          <w:p w:rsidR="00FE4B2A" w:rsidRPr="00FE4B2A" w:rsidRDefault="00FE4B2A" w:rsidP="003E2A10">
            <w:pPr>
              <w:rPr>
                <w:rFonts w:ascii="Palatino Linotype" w:hAnsi="Palatino Linotype"/>
                <w:sz w:val="20"/>
                <w:szCs w:val="20"/>
              </w:rPr>
            </w:pP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Deleted prerequisite “also MSW 695 for students completing a thesis.” As this is a conditional statement for some students, it should not be included as a prerequisite in the catalog.</w:t>
            </w:r>
          </w:p>
        </w:tc>
      </w:tr>
      <w:tr w:rsidR="00FE4B2A" w:rsidRPr="00FE4B2A" w:rsidTr="003E2A10">
        <w:tc>
          <w:tcPr>
            <w:tcW w:w="1255"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lastRenderedPageBreak/>
              <w:t>MSW 698</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MSW 698 (3) Thesis I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Under the guidance of a thesis advisor, complete a thesis proposal and literature review for a research study that will have a positive contribution to the field of social work. Prepare instruments and IRB protocol as applicable. Graded Credit/ No Credit. Enrollment restricted to students enrolled in the Master of Social Work program. Prerequisites: Pre/ </w:t>
            </w:r>
            <w:proofErr w:type="spellStart"/>
            <w:r w:rsidRPr="00FE4B2A">
              <w:rPr>
                <w:rFonts w:ascii="Palatino Linotype" w:hAnsi="Palatino Linotype"/>
                <w:sz w:val="20"/>
                <w:szCs w:val="20"/>
              </w:rPr>
              <w:t>Corequisite</w:t>
            </w:r>
            <w:proofErr w:type="spellEnd"/>
            <w:r w:rsidRPr="00FE4B2A">
              <w:rPr>
                <w:rFonts w:ascii="Palatino Linotype" w:hAnsi="Palatino Linotype"/>
                <w:sz w:val="20"/>
                <w:szCs w:val="20"/>
              </w:rPr>
              <w:t xml:space="preserve"> MSW 650; and completion of 30 MSW units with a minimum cumulative GPA of 3.0, and advancement to candidacy.</w:t>
            </w:r>
          </w:p>
        </w:tc>
        <w:tc>
          <w:tcPr>
            <w:tcW w:w="396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MSW </w:t>
            </w:r>
            <w:r w:rsidRPr="00FE4B2A">
              <w:rPr>
                <w:rFonts w:ascii="Palatino Linotype" w:hAnsi="Palatino Linotype"/>
                <w:color w:val="FF0000"/>
                <w:sz w:val="20"/>
                <w:szCs w:val="20"/>
              </w:rPr>
              <w:t>695</w:t>
            </w:r>
            <w:r w:rsidRPr="00FE4B2A">
              <w:rPr>
                <w:rFonts w:ascii="Palatino Linotype" w:hAnsi="Palatino Linotype"/>
                <w:sz w:val="20"/>
                <w:szCs w:val="20"/>
              </w:rPr>
              <w:t xml:space="preserve"> (3) Thesis I </w:t>
            </w:r>
          </w:p>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 xml:space="preserve">Under the guidance of a thesis advisor, complete a thesis proposal and literature review for a research study that will have a positive contribution to the field of social work. Prepare instruments and IRB protocol as applicable. Graded Credit/ No Credit. Enrollment restricted to students enrolled in the Master of Social Work program. Prerequisites: Pre/ </w:t>
            </w:r>
            <w:proofErr w:type="spellStart"/>
            <w:r w:rsidRPr="00FE4B2A">
              <w:rPr>
                <w:rFonts w:ascii="Palatino Linotype" w:hAnsi="Palatino Linotype"/>
                <w:sz w:val="20"/>
                <w:szCs w:val="20"/>
              </w:rPr>
              <w:t>Corequisite</w:t>
            </w:r>
            <w:proofErr w:type="spellEnd"/>
            <w:r w:rsidRPr="00FE4B2A">
              <w:rPr>
                <w:rFonts w:ascii="Palatino Linotype" w:hAnsi="Palatino Linotype"/>
                <w:sz w:val="20"/>
                <w:szCs w:val="20"/>
              </w:rPr>
              <w:t xml:space="preserve"> MSW 650; and completion of 30 MSW units with a minimum cumulative GPA of 3.0, and advancement to candidacy.</w:t>
            </w:r>
          </w:p>
        </w:tc>
        <w:tc>
          <w:tcPr>
            <w:tcW w:w="3870" w:type="dxa"/>
          </w:tcPr>
          <w:p w:rsidR="00FE4B2A" w:rsidRPr="00FE4B2A" w:rsidRDefault="00FE4B2A" w:rsidP="003E2A10">
            <w:pPr>
              <w:rPr>
                <w:rFonts w:ascii="Palatino Linotype" w:hAnsi="Palatino Linotype"/>
                <w:sz w:val="20"/>
                <w:szCs w:val="20"/>
              </w:rPr>
            </w:pPr>
            <w:r w:rsidRPr="00FE4B2A">
              <w:rPr>
                <w:rFonts w:ascii="Palatino Linotype" w:hAnsi="Palatino Linotype"/>
                <w:sz w:val="20"/>
                <w:szCs w:val="20"/>
              </w:rPr>
              <w:t>This is an error in the catalog course listing—the course numbers for Thesis I and II were switched. It is listed correctly in the catalog in the sequencing of courses. Thesis I should have a lower number (MSW 695) than Thesis II MSW 698.</w:t>
            </w:r>
          </w:p>
        </w:tc>
      </w:tr>
    </w:tbl>
    <w:p w:rsidR="00FE4B2A" w:rsidRPr="00FE4B2A" w:rsidRDefault="00FE4B2A" w:rsidP="00FE4B2A">
      <w:pPr>
        <w:rPr>
          <w:rFonts w:ascii="Palatino Linotype" w:hAnsi="Palatino Linotype"/>
          <w:sz w:val="20"/>
          <w:szCs w:val="20"/>
        </w:rPr>
      </w:pPr>
    </w:p>
    <w:p w:rsidR="00FE4B2A" w:rsidRPr="00FE4B2A" w:rsidRDefault="00FE4B2A" w:rsidP="00FE4B2A">
      <w:pPr>
        <w:spacing w:after="0" w:line="240" w:lineRule="auto"/>
        <w:rPr>
          <w:rFonts w:ascii="Palatino Linotype" w:hAnsi="Palatino Linotype"/>
          <w:sz w:val="20"/>
          <w:szCs w:val="20"/>
        </w:rPr>
      </w:pPr>
    </w:p>
    <w:sectPr w:rsidR="00FE4B2A" w:rsidRPr="00FE4B2A" w:rsidSect="00FE4B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1C"/>
    <w:rsid w:val="000A174A"/>
    <w:rsid w:val="001709AF"/>
    <w:rsid w:val="003E6918"/>
    <w:rsid w:val="003F3055"/>
    <w:rsid w:val="0059196D"/>
    <w:rsid w:val="00C91518"/>
    <w:rsid w:val="00CC561C"/>
    <w:rsid w:val="00DE20B8"/>
    <w:rsid w:val="00ED0E14"/>
    <w:rsid w:val="00FA58BC"/>
    <w:rsid w:val="00FE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D0CF-0D16-4938-BF68-01C09F68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Nessler</dc:creator>
  <cp:keywords/>
  <dc:description/>
  <cp:lastModifiedBy>Virginia Mann</cp:lastModifiedBy>
  <cp:revision>4</cp:revision>
  <dcterms:created xsi:type="dcterms:W3CDTF">2015-10-20T18:29:00Z</dcterms:created>
  <dcterms:modified xsi:type="dcterms:W3CDTF">2015-10-20T18:38:00Z</dcterms:modified>
</cp:coreProperties>
</file>