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262"/>
        <w:gridCol w:w="1228"/>
        <w:gridCol w:w="1577"/>
        <w:gridCol w:w="2453"/>
      </w:tblGrid>
      <w:tr w:rsidR="006720CD" w:rsidRPr="006720CD" w:rsidTr="005B3444">
        <w:trPr>
          <w:trHeight w:val="792"/>
        </w:trPr>
        <w:tc>
          <w:tcPr>
            <w:tcW w:w="10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0CD" w:rsidRPr="006720CD" w:rsidRDefault="006720CD" w:rsidP="006720CD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0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720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720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720C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BIOGRAPHICAL SKETCH</w:t>
            </w:r>
          </w:p>
          <w:p w:rsidR="006720CD" w:rsidRPr="006720CD" w:rsidRDefault="006720CD" w:rsidP="0067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0CD">
              <w:rPr>
                <w:rFonts w:ascii="Arial" w:eastAsia="Times New Roman" w:hAnsi="Arial" w:cs="Arial"/>
                <w:sz w:val="16"/>
                <w:szCs w:val="16"/>
              </w:rPr>
              <w:t>Provide the following information for all key personnel.</w:t>
            </w:r>
          </w:p>
          <w:p w:rsidR="006720CD" w:rsidRPr="006720CD" w:rsidRDefault="006720CD" w:rsidP="006720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 NOT EXCEED TWO PAGES FOR EACH BIOSKETCH.</w:t>
            </w:r>
          </w:p>
        </w:tc>
      </w:tr>
      <w:tr w:rsidR="006720CD" w:rsidRPr="006720CD" w:rsidTr="005B3444">
        <w:trPr>
          <w:trHeight w:val="212"/>
        </w:trPr>
        <w:tc>
          <w:tcPr>
            <w:tcW w:w="10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0CD" w:rsidRPr="006720CD" w:rsidRDefault="006720CD" w:rsidP="0067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0CD" w:rsidRPr="006720CD" w:rsidTr="005B3444">
        <w:trPr>
          <w:trHeight w:val="694"/>
        </w:trPr>
        <w:tc>
          <w:tcPr>
            <w:tcW w:w="52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Todd Anthony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Astorino</w:t>
            </w:r>
            <w:proofErr w:type="spellEnd"/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POSITION TITLE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Principal Investigator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0CD" w:rsidRPr="006720CD" w:rsidTr="005B3444">
        <w:trPr>
          <w:trHeight w:val="254"/>
        </w:trPr>
        <w:tc>
          <w:tcPr>
            <w:tcW w:w="10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0CD">
              <w:rPr>
                <w:rFonts w:ascii="Arial" w:eastAsia="Times New Roman" w:hAnsi="Arial" w:cs="Arial"/>
                <w:sz w:val="16"/>
                <w:szCs w:val="16"/>
              </w:rPr>
              <w:t>EDUCATION/</w:t>
            </w:r>
            <w:proofErr w:type="gramStart"/>
            <w:r w:rsidRPr="006720CD">
              <w:rPr>
                <w:rFonts w:ascii="Arial" w:eastAsia="Times New Roman" w:hAnsi="Arial" w:cs="Arial"/>
                <w:sz w:val="16"/>
                <w:szCs w:val="16"/>
              </w:rPr>
              <w:t xml:space="preserve">TRAINING  </w:t>
            </w:r>
            <w:r w:rsidRPr="006720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6720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Begin with baccalaureate or other initial professional education, such as nursing, and include postdoctoral training.)</w:t>
            </w:r>
          </w:p>
        </w:tc>
      </w:tr>
      <w:tr w:rsidR="006720CD" w:rsidRPr="006720CD" w:rsidTr="005B3444">
        <w:trPr>
          <w:trHeight w:val="523"/>
        </w:trPr>
        <w:tc>
          <w:tcPr>
            <w:tcW w:w="4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b/>
                <w:sz w:val="20"/>
                <w:szCs w:val="20"/>
              </w:rPr>
              <w:t>INSTITUTION AND LOCATION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b/>
                <w:sz w:val="20"/>
                <w:szCs w:val="20"/>
              </w:rPr>
              <w:t>DEGREE</w:t>
            </w:r>
          </w:p>
          <w:p w:rsidR="006720CD" w:rsidRPr="006720CD" w:rsidRDefault="006720CD" w:rsidP="006720C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b/>
                <w:sz w:val="20"/>
                <w:szCs w:val="20"/>
              </w:rPr>
              <w:t>YEAR(s)</w:t>
            </w:r>
          </w:p>
        </w:tc>
        <w:tc>
          <w:tcPr>
            <w:tcW w:w="2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0CD" w:rsidRPr="006720CD" w:rsidRDefault="006720CD" w:rsidP="006720C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20CD">
              <w:rPr>
                <w:rFonts w:ascii="Arial" w:eastAsia="Times New Roman" w:hAnsi="Arial" w:cs="Arial"/>
                <w:b/>
                <w:sz w:val="20"/>
                <w:szCs w:val="20"/>
              </w:rPr>
              <w:t>FIELD OF STUDY</w:t>
            </w:r>
          </w:p>
        </w:tc>
      </w:tr>
      <w:tr w:rsidR="006720CD" w:rsidRPr="006720CD" w:rsidTr="005B3444">
        <w:trPr>
          <w:trHeight w:val="1415"/>
        </w:trPr>
        <w:tc>
          <w:tcPr>
            <w:tcW w:w="49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California State University—Sacramento                             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Arizona State University                                                       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University of New Mexico                                                     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B.A.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M. S.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1993</w:t>
            </w:r>
          </w:p>
          <w:p w:rsidR="006720CD" w:rsidRPr="006720CD" w:rsidRDefault="006720CD" w:rsidP="006720C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1998</w:t>
            </w:r>
          </w:p>
          <w:p w:rsidR="006720CD" w:rsidRPr="006720CD" w:rsidRDefault="006720CD" w:rsidP="006720C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2001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Biological Sciences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Exercise Science</w:t>
            </w: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Exercise Physiology</w:t>
            </w:r>
          </w:p>
        </w:tc>
      </w:tr>
      <w:tr w:rsidR="006720CD" w:rsidRPr="006720CD" w:rsidTr="005B3444">
        <w:trPr>
          <w:trHeight w:val="297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0CD" w:rsidRPr="006720CD" w:rsidTr="005B3444">
        <w:trPr>
          <w:trHeight w:val="311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0CD" w:rsidRPr="006720CD" w:rsidTr="005B3444">
        <w:trPr>
          <w:trHeight w:val="297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0CD" w:rsidRPr="006720CD" w:rsidTr="005B3444">
        <w:trPr>
          <w:trHeight w:val="80"/>
        </w:trPr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0CD" w:rsidRPr="006720CD" w:rsidRDefault="006720CD" w:rsidP="006720C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720CD" w:rsidRPr="006720CD" w:rsidRDefault="006720CD" w:rsidP="006720CD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0CD" w:rsidRPr="006720CD" w:rsidRDefault="006720CD" w:rsidP="006720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720CD" w:rsidRPr="006720CD" w:rsidRDefault="006720CD" w:rsidP="006720CD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6720CD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A. Positions and Honors</w:t>
      </w:r>
      <w:r w:rsidRPr="006720C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720CD" w:rsidRPr="006720CD" w:rsidTr="005B3444">
        <w:trPr>
          <w:trHeight w:val="2160"/>
        </w:trPr>
        <w:tc>
          <w:tcPr>
            <w:tcW w:w="10800" w:type="dxa"/>
          </w:tcPr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08/14 – present        Professor, Department of Kinesiology, CSU—San Marcos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08/08 – 07/14           Associate Professor, Department of Kinesiology, CSU—San Marcos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08/04 – 07/08           Assistant Professor, Department of Kinesiology, CSU—San Marcos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08/01 – 05/04           Assistant Professor, Department of Exercise Science, Salisbury University</w:t>
            </w:r>
          </w:p>
        </w:tc>
      </w:tr>
    </w:tbl>
    <w:p w:rsidR="006720CD" w:rsidRPr="006720CD" w:rsidRDefault="006720CD" w:rsidP="006720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20CD" w:rsidRPr="006720CD" w:rsidRDefault="006720CD" w:rsidP="006720CD">
      <w:pPr>
        <w:spacing w:after="0" w:line="240" w:lineRule="auto"/>
        <w:ind w:left="90" w:right="288"/>
        <w:jc w:val="both"/>
        <w:rPr>
          <w:rFonts w:ascii="Arial" w:eastAsia="Times New Roman" w:hAnsi="Arial" w:cs="Arial"/>
          <w:sz w:val="20"/>
          <w:szCs w:val="20"/>
        </w:rPr>
      </w:pPr>
      <w:r w:rsidRPr="006720CD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B. Selected peer-reviewed publications (in chronological order out of 43 publications)</w:t>
      </w:r>
      <w:r w:rsidRPr="006720C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720CD" w:rsidRPr="006720CD" w:rsidTr="005B3444">
        <w:trPr>
          <w:trHeight w:val="2160"/>
        </w:trPr>
        <w:tc>
          <w:tcPr>
            <w:tcW w:w="10800" w:type="dxa"/>
          </w:tcPr>
          <w:p w:rsidR="006720CD" w:rsidRPr="006720CD" w:rsidRDefault="006720CD" w:rsidP="008B6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, Harness ET, White AC. Efficacy of acute intermittent hypoxia on physical function and health status in humans with spinal cord injury:  a brief review. Neural Plasticity 2015, 409625.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Wood K, Olive B,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LaValle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K, Thompson H, Greer K,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. Dissimilar physiological and perceptual responses between sprint interval training and high-intensity interval training.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Cond Res 2015 (in press).    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King L,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Sillers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W, McCarthy K, Louis P,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. Higher fat oxidation in response to treadmill walking versus cycle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ergometry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:  a pilot study. J Sports Med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Phys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Fitness 2015 (in press).  </w:t>
            </w:r>
          </w:p>
          <w:p w:rsidR="008B6A1B" w:rsidRDefault="008B6A1B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Schubert MM, Palumbo 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Stirling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D, McMillan DW, Gallant 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Dewoskin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R. Perceptual responses to two distinct regimens of interval training.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 2015 (in press).</w:t>
            </w:r>
          </w:p>
          <w:p w:rsidR="006720CD" w:rsidRPr="006720CD" w:rsidRDefault="00BA5AA3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McMillan DW, Edmunds RM, Sanchez E. Increased cardiac output elicits higher V̇O2max in response to self-paced exercise.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Nutr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Metab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40(3):223-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>29, 2015.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White AC, Salgado R, Schneider SM,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Loeppky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Mermier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C. Does heat acclimation improve exercise capacity at altitude?  A cross-acclimation model.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 Sports Med 35(12):975-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81, 2014.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Harness ET,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Witzke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KA. Chronic activity-based therapy does not improve body composition, insulin-like growth factor-I, adiponectin, or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myostatin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in persons with spinal cord injury. J Spinal Cord Med. 2014 (in press).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Lee CL, Cheng CF,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Lee CJ,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Hsin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-Wei Huang HW, Chang WD. Effects of carbohydrate combined with caffeine on repeated sprint cycling and agility performance in female 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hletes.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Sports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Nutr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11:17, 2014.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, Schubert MM. Individual responses to completion of short-term and chronic interval training: A retrospective study. PLOS One 9:5:e97638, 2014.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Harness ET,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Knoblach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S, </w:t>
            </w:r>
            <w:proofErr w:type="gram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Feather</w:t>
            </w:r>
            <w:proofErr w:type="gram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J. Change in neuroplasticity-related proteins in response to acute activity-based therapy in persons with spinal cord injury. Topics Spinal Cord Injury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Rehabil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20(2):147-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57, 2014.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Harness ET,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Witzke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KA. Effect of chronic activity-based therapy on bone mineral density and bone turnover in persons with spinal cord injury.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113(12): 3027-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37, 2013.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Schubert MM, Palumbo E,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Stirling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D, McMillan DW, Cooper C, Godinez J, Martinez D, Gallant R. Magnitude and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timecourse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of changes in maximal oxygen uptake in response to distinct regimens of chronic interval training in sedentary women.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113(9): 2361-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69, 2013.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Schubert MM, Palumbo E,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Stirling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D, McMillan DW. Effect of two doses of interval training on maximal fat oxidation in sedentary women. Med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Sci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Sports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45(10):1878-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86, 2013.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Martin BJ,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Schachtsiek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Wong K. Caffeine ingestion and intense resistance training alter post exercise hypotension in normotensive and pre-hypertensive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men. Res Sports Med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21(1): 52-65, 2013.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Schubert MM,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. A systematic review of the efficacy of ergogenic aids for improving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running performance.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27(6): 1699-1707, 2013.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Allen RP, Roberson DW,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Jurancich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M.  Effect of high-intensity interval training on cardiovascular function, VO</w:t>
            </w:r>
            <w:r w:rsidRPr="006720C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max, and muscular force.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Cond Res 26(1):138-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45, 2012. </w:t>
            </w:r>
          </w:p>
          <w:p w:rsid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Dalleck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LC, </w:t>
            </w: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Erickson RM, McCarthy CM,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Beadell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AA,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Botten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BH. Suitability of verification testing to confirm attainment of VO2max in middle-age and older adu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lts. Res Sports Med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20(2): 118-128, 2012.</w:t>
            </w:r>
          </w:p>
          <w:p w:rsid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Matera AJ,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Basinger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J, Evans M,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Schurman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T, Marquez R. Effects of red bull energy drink on repeated sprint performance in women athletes. Amino Acids 42(5):1803-1808, 2012.</w:t>
            </w:r>
          </w:p>
          <w:p w:rsid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Cottrell T, Lozano AT,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Aburto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-Pratt K,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Duhon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J.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6BDB"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Increases in cycling performance in response to caffeine ingestion </w:t>
            </w:r>
            <w:proofErr w:type="gramStart"/>
            <w:r w:rsidR="008D6BDB" w:rsidRPr="008D6BDB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 w:rsidR="008D6BDB"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 repeatable.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Nutr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Res 32(2): 78-84, 2012.</w:t>
            </w:r>
          </w:p>
          <w:p w:rsidR="008D6BDB" w:rsidRPr="00BA5AA3" w:rsidRDefault="008D6BDB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BD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D6B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, Cottrell T, </w:t>
            </w:r>
            <w:proofErr w:type="spellStart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>Talhami</w:t>
            </w:r>
            <w:proofErr w:type="spellEnd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 Lozano A, </w:t>
            </w:r>
            <w:proofErr w:type="spellStart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>Aburto</w:t>
            </w:r>
            <w:proofErr w:type="spellEnd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-Pratt K, </w:t>
            </w:r>
            <w:proofErr w:type="spellStart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>Duhon</w:t>
            </w:r>
            <w:proofErr w:type="spellEnd"/>
            <w:r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 J.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6BDB">
              <w:rPr>
                <w:rFonts w:ascii="Arial" w:eastAsia="Times New Roman" w:hAnsi="Arial" w:cs="Arial"/>
                <w:sz w:val="24"/>
                <w:szCs w:val="24"/>
              </w:rPr>
              <w:t xml:space="preserve">Effect of caffeine on RPE and perceptions of pain, arousal, and pleasure/displeasure during a cycling </w:t>
            </w:r>
            <w:r w:rsidRPr="008D6B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time trial in endurance trained and active men.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Behav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106(2): 211-217, 2012.</w:t>
            </w:r>
          </w:p>
          <w:p w:rsidR="00BA5AA3" w:rsidRPr="006720CD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Cottrell T. Reliability and validity of the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Velotron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Racermate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™ cycle ergometer to 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easure anaerobic power.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Sports Med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33(3):205-210, 2012.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Roupoli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LR,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Valdivieso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BR. Caffeine does not alter RPE or pain perception during intense exercise in active women. Appetite 59(2): 585-590, 2012.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Allen RP, Roberson DW,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Jurancich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M, Lewis RW, McCarthy K,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Trost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E. Adaptations to high-intensity training are independent of gender.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111(7):1279-</w:t>
            </w:r>
            <w:r w:rsidR="008D6BD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bookmarkStart w:id="0" w:name="_GoBack"/>
            <w:bookmarkEnd w:id="0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86, 2011.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Harness ET,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. Acute energy cost of multi-modal activity based therapy in persons with spinal cord injury. J Spinal Cord Med 34(5):495-500, 2011.  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Martin BJ,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Schachtsiek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L, Wong K, Ng K. Minimal effect of acute caffeine ingestion on intense resistance training perf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ormance.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25(6): 1752-1758, 2011.</w:t>
            </w:r>
          </w:p>
          <w:p w:rsidR="008B6A1B" w:rsidRPr="008B6A1B" w:rsidRDefault="008B6A1B" w:rsidP="008B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>, Terzi M, Roberson DW, Burnett TR. Effect of caffeine intake on pain perception during high-intensity exe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rcise.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Sports </w:t>
            </w:r>
            <w:proofErr w:type="spellStart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Metab</w:t>
            </w:r>
            <w:proofErr w:type="spellEnd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21(1): 27-32, 2011.</w:t>
            </w:r>
          </w:p>
          <w:p w:rsidR="006720CD" w:rsidRPr="006720CD" w:rsidRDefault="008B6A1B" w:rsidP="008B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, Martin BJ, </w:t>
            </w:r>
            <w:proofErr w:type="spellStart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>Schachtsiek</w:t>
            </w:r>
            <w:proofErr w:type="spellEnd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L, Wong K. Effect of acute caffeine ingestion on EPOC after intense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resistance training. J 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>Spor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ts Med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Fit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51(1): 11-17, 2011.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Roberson DW. Efficacy of acute caffeine ingestion for short-term, high-intensity exercise performance: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systematic review. J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24(1): 257-265, 2010.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Robergs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RA, Dwyer D, </w:t>
            </w: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. Recommendations for improved data processing from expired gas analysis indir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ect calorimetry. Sports Med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40(2): 95-111, 2010.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, White AC. Assessment of anaerobic power to 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rify VO2max attainment.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Clin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hysiol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Funct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Imaging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30(4): 294-300, 2010.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Terzi M, Roberson DW, Burnett TR. Effect of two doses of caffeine on muscular function during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isokinetic exercise. Med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Sports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42(12): 2205-2210, 2010.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White AC,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Dalleck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LC.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Supramaximal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testing to confirm attainment of VO2max in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edentary men and women.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Sports Med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30(4): 279-284, 2009.</w:t>
            </w:r>
          </w:p>
          <w:p w:rsid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, Harness ET. Substrate metabolism during exercise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spinal cord injured.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106(2): 187-193, 2009.</w:t>
            </w:r>
          </w:p>
          <w:p w:rsidR="00BA5AA3" w:rsidRPr="006720CD" w:rsidRDefault="00BA5AA3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>. Alterations in VO2max and the VO2 plateau with manipulatio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 of sampling interval.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Clin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hysiol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Funct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Imaging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29(1): 60-67, 2009.  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Rohmann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RL, Firth K. Effect of caffeine ingestion on one-repetition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maximum muscular strength.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102(2): 127-132, 2008.</w:t>
            </w:r>
          </w:p>
          <w:p w:rsidR="00BA5AA3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672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Tyerman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N, Wong K, Harness E. Efficacy of a new rehabilitative device for individuals  with spinal cord injury.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 Spinal Cord Med </w:t>
            </w: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31(5): 586-591, 2008.</w:t>
            </w:r>
          </w:p>
          <w:p w:rsidR="00BA5AA3" w:rsidRDefault="00BA5AA3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Rohmann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, RL, Firth, K, Kelly, S. Caffeine-induced changes in cardiovascular function during intense resistance tr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aining.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Sports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Metab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17(5): 468-477, 2007.</w:t>
            </w:r>
          </w:p>
          <w:p w:rsidR="00BA5AA3" w:rsidRP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Brazil C,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Marrocco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A, Gross S,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Kneessi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R, Icenhower M, Johnson D. Is running performance enhanced with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creat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serum ingestion? J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19(4):270-274, 2005.</w:t>
            </w:r>
          </w:p>
          <w:p w:rsid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Willey J,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Kinnahan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J, Welch H, Larsson SM,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Dalleck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, LC. Elucidating factors explaining the plateau in VO2 at VO2max. Br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 Sports Med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39:655-660, 2005.</w:t>
            </w:r>
          </w:p>
          <w:p w:rsidR="00BA5AA3" w:rsidRP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Ghiasvand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F,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Robergs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RA.  Acute hypoxia alters lactate threshold in chronic altitude residents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7(2):6-15, 2004.  </w:t>
            </w:r>
          </w:p>
          <w:p w:rsidR="00BA5AA3" w:rsidRPr="00BA5AA3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Tam P,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Rietschel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JC, Johnson SM,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Sakarya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CE, Freedman TP. Optimal duration of VO2max testing.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7(6):1-8, 2004.</w:t>
            </w:r>
          </w:p>
          <w:p w:rsidR="008B6A1B" w:rsidRDefault="00BA5AA3" w:rsidP="00BA5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BA5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, Tam P,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Rietschel</w:t>
            </w:r>
            <w:proofErr w:type="spellEnd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JC, Johnson SM, Freedman TP. Changes in physical fitness parameters during a competitive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field hockey season. J </w:t>
            </w:r>
            <w:proofErr w:type="spellStart"/>
            <w:r w:rsidRPr="00BA5AA3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Cond Res</w:t>
            </w:r>
            <w:r w:rsidRPr="00BA5AA3">
              <w:rPr>
                <w:rFonts w:ascii="Arial" w:eastAsia="Times New Roman" w:hAnsi="Arial" w:cs="Arial"/>
                <w:sz w:val="24"/>
                <w:szCs w:val="24"/>
              </w:rPr>
              <w:t xml:space="preserve"> 18(4):850-854, 2004.</w:t>
            </w:r>
          </w:p>
          <w:p w:rsidR="008B6A1B" w:rsidRPr="008B6A1B" w:rsidRDefault="008B6A1B" w:rsidP="008B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>.  Incidence of the oxygen plateau at VO2max during exercise testing to volitional fatigue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Exerc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Physiol</w:t>
            </w:r>
            <w:proofErr w:type="spellEnd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3(4):1-12, 2000. </w:t>
            </w:r>
          </w:p>
          <w:p w:rsidR="006720CD" w:rsidRPr="006720CD" w:rsidRDefault="008B6A1B" w:rsidP="008B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>Astorino</w:t>
            </w:r>
            <w:proofErr w:type="spellEnd"/>
            <w:r w:rsidRPr="008B6A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TA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. Is the </w:t>
            </w:r>
            <w:proofErr w:type="spellStart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>ventilatory</w:t>
            </w:r>
            <w:proofErr w:type="spellEnd"/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threshold coincident with maximal fat oxidation during submaximal exe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rcise in women? J 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>Spor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ts Med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Phys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Fit</w:t>
            </w:r>
            <w:r w:rsidRPr="008B6A1B">
              <w:rPr>
                <w:rFonts w:ascii="Arial" w:eastAsia="Times New Roman" w:hAnsi="Arial" w:cs="Arial"/>
                <w:sz w:val="24"/>
                <w:szCs w:val="24"/>
              </w:rPr>
              <w:t xml:space="preserve"> 40(3):209-216, 2000.</w:t>
            </w:r>
          </w:p>
        </w:tc>
      </w:tr>
    </w:tbl>
    <w:p w:rsidR="006720CD" w:rsidRPr="006720CD" w:rsidRDefault="006720CD" w:rsidP="006720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20CD" w:rsidRPr="006720CD" w:rsidRDefault="006720CD" w:rsidP="006720CD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720CD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C. Research Support</w:t>
      </w:r>
      <w:r w:rsidRPr="006720C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720CD" w:rsidRPr="006720CD" w:rsidTr="005B3444">
        <w:trPr>
          <w:trHeight w:val="2160"/>
        </w:trPr>
        <w:tc>
          <w:tcPr>
            <w:tcW w:w="10800" w:type="dxa"/>
          </w:tcPr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>06/11 – 05/15      NIH SC3 1SC3GM095416-01 (National Institute of General Medical Sciences)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Effect of intense multi-modal training on bone mineral density, bone biomarkers,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proofErr w:type="gram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body</w:t>
            </w:r>
            <w:proofErr w:type="gram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composition, and quality of life in persons with spinal cord injury.                                                             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0CD" w:rsidRPr="006720CD" w:rsidRDefault="006720CD" w:rsidP="0067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07/10 – 07/12      NIH NCMRR/NINDS 5R24 HD050846 (Integrated Molecular Core for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Rehabili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-                   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proofErr w:type="spell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tation</w:t>
            </w:r>
            <w:proofErr w:type="spell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Medicine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Effect of activity-based exercise on neuroplasticity-related proteins in persons with   </w:t>
            </w:r>
          </w:p>
          <w:p w:rsidR="006720CD" w:rsidRPr="006720CD" w:rsidRDefault="006720CD" w:rsidP="0067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proofErr w:type="gramStart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>spinal</w:t>
            </w:r>
            <w:proofErr w:type="gramEnd"/>
            <w:r w:rsidRPr="006720CD">
              <w:rPr>
                <w:rFonts w:ascii="Arial" w:eastAsia="Times New Roman" w:hAnsi="Arial" w:cs="Arial"/>
                <w:sz w:val="24"/>
                <w:szCs w:val="24"/>
              </w:rPr>
              <w:t xml:space="preserve"> cord injury. co-PI with Eric Harness (PI)</w:t>
            </w:r>
            <w:r w:rsidRPr="0067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712166" w:rsidRDefault="00712166"/>
    <w:sectPr w:rsidR="0071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D"/>
    <w:rsid w:val="006720CD"/>
    <w:rsid w:val="00712166"/>
    <w:rsid w:val="008B6A1B"/>
    <w:rsid w:val="008D6BDB"/>
    <w:rsid w:val="00B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Astorino</dc:creator>
  <cp:lastModifiedBy>Astorino</cp:lastModifiedBy>
  <cp:revision>1</cp:revision>
  <dcterms:created xsi:type="dcterms:W3CDTF">2015-08-28T18:36:00Z</dcterms:created>
  <dcterms:modified xsi:type="dcterms:W3CDTF">2015-08-28T19:12:00Z</dcterms:modified>
</cp:coreProperties>
</file>